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wdp" ContentType="image/vnd.ms-photo"/>
  <Default Extension="jxr" ContentType="image/vnd.ms-photo"/>
  <Default Extension="dds" ContentType="image/vnd.ms-dds"/>
  <Default Extension="heic" ContentType="image/heic"/>
  <Default Extension="svg" ContentType="image/svg+xml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header0001_first.xml" ContentType="application/vnd.openxmlformats-officedocument.wordprocessingml.header+xml"/>
  <Override PartName="/word/footer0001_first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	<Relationship Id="rId00004" Type="http://schemas.openxmlformats.org/officeDocument/2006/relationships/custom-properties" Target="docProps/custom.xml"/>
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 xmlns:mc="http://schemas.openxmlformats.org/markup-compatibility/2006" xmlns:w14="http://schemas.microsoft.com/office/word/2010/wordml" xmlns:wpc="http://schemas.microsoft.com/office/word/2010/wordprocessingCanvas" xmlns:wpg="http://schemas.microsoft.com/office/word/2010/wordprocessingGroup" xmlns:wps="http://schemas.microsoft.com/office/word/2010/wordprocessingShape" xmlns:w15="http://schemas.microsoft.com/office/word/2012/wordml" xmlns:w16du="http://schemas.microsoft.com/office/word/2023/wordml/word16du" xmlns:tx19="http://schemas.textcontrol.com/tx/1900" xmlns:tx23="http://schemas.textcontrol.com/tx/2300" xmlns:tx26="http://schemas.textcontrol.com/tx/2600" mc:Ignorable="w14 wpc wpg wps w15 w16du tx19 tx23 tx26">
  <w:body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5"/>
      </w:tblGrid>
      <w:tr>
        <w:tc>
          <w:tcPr>
            <w:tcW w:w="12195" w:type="dxa"/>
            <w:shd w:val="clear" w:color="auto" w:fill="auto"/>
            <w:vAlign w:val="top"/>
          </w:tcPr>
          <w:p>
            <w:pPr>
              <w:pStyle w:val="Heading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rPr>
                <w:rFonts w:ascii="Arial" w:hAnsi="Arial" w:eastAsia="Arial" w:cs="Arial"/>
                <w:b/>
                <w:bCs/>
                <w:color w:val="9E1773"/>
                <w:sz w:val="52"/>
                <w:szCs w:val="52"/>
                <w:lang w:val="en-GB" w:eastAsia="en-GB" w:bidi="en-GB"/>
              </w:rPr>
            </w:pPr>
          </w:p>
          <w:p>
            <w:pPr>
              <w:pStyle w:val="Heading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rPr>
                <w:rFonts w:ascii="Arial" w:hAnsi="Arial" w:eastAsia="Arial" w:cs="Arial"/>
                <w:b/>
                <w:bCs/>
                <w:color w:val="9E1773"/>
                <w:sz w:val="52"/>
                <w:szCs w:val="52"/>
                <w:lang w:val="en-GB" w:eastAsia="en-GB" w:bidi="en-GB"/>
              </w:rPr>
            </w:pPr>
            <w:r>
              <w:rPr>
                <w:rFonts w:ascii="Arial" w:hAnsi="Arial" w:eastAsia="Arial" w:cs="Arial"/>
                <w:b/>
                <w:bCs/>
                <w:color w:val="9E1773"/>
                <w:sz w:val="52"/>
                <w:szCs w:val="52"/>
                <w:lang w:val="en-GB" w:eastAsia="en-GB" w:bidi="en-GB"/>
              </w:rPr>
              <w:t xml:space="preserve">Stories &amp; Voices Lead</w:t>
            </w:r>
          </w:p>
        </w:tc>
      </w:tr>
      <w:tr>
        <w:tc>
          <w:tcPr>
            <w:tcW w:w="121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Arial" w:hAnsi="Arial" w:eastAsia="Arial" w:cs="Arial"/>
                <w:lang w:val="en-GB" w:eastAsia="en-GB" w:bidi="en-GB"/>
              </w:rPr>
            </w:pPr>
          </w:p>
        </w:tc>
      </w:tr>
      <w:tr>
        <w:tc>
          <w:tcPr>
            <w:tcW w:w="121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Arial" w:hAnsi="Arial" w:eastAsia="Arial" w:cs="Arial"/>
                <w:b/>
                <w:bCs/>
                <w:lang w:val="en-GB" w:eastAsia="en-GB" w:bidi="en-GB"/>
              </w:rPr>
            </w:pPr>
          </w:p>
        </w:tc>
      </w:tr>
      <w:tr>
        <w:tc>
          <w:tcPr>
            <w:tcW w:w="121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lang w:val="en-GB" w:eastAsia="en-GB" w:bidi="en-GB"/>
              </w:rPr>
            </w:pPr>
            <w:r>
              <w:rPr>
                <w:lang w:val="en-GB" w:eastAsia="en-GB" w:bidi="en-GB"/>
              </w:rPr>
              <w:drawing>
                <wp:inline distT="0" distB="0" distL="0" distR="0">
                  <wp:extent cx="7613650" cy="3333115"/>
                  <wp:docPr id="2" name="Picture 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0" cy="333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GB" w:eastAsia="en-GB" w:bidi="en-GB"/>
              </w:rPr>
              <w:drawing>
                <wp:inline distT="0" distB="0" distL="0" distR="0">
                  <wp:extent cx="1558925" cy="789305"/>
                  <wp:docPr id="3" name="Picture 1266280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255" w:type="dxa"/>
          <w:left w:w="255" w:type="dxa"/>
          <w:bottom w:w="255" w:type="dxa"/>
          <w:right w:w="255" w:type="dxa"/>
        </w:tblCellMar>
      </w:tblPr>
      <w:tblGrid>
        <w:gridCol w:w="10456"/>
      </w:tblGrid>
      <w:tr>
        <w:tc>
          <w:tcPr>
            <w:tcW w:w="10456" w:type="dxa"/>
            <w:shd w:val="clear" w:color="auto" w:fill="F8F0E2"/>
            <w:vAlign w:val="top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76" w:lineRule="auto"/>
              <w:rPr>
                <w:rFonts w:ascii="Arial" w:hAnsi="Arial" w:eastAsia="Arial" w:cs="Arial"/>
                <w:b/>
                <w:bCs/>
                <w:color w:val="970361"/>
                <w:sz w:val="36"/>
                <w:szCs w:val="36"/>
                <w:lang w:val="en-US" w:eastAsia="en-US" w:bidi="en-US"/>
              </w:rPr>
            </w:pPr>
            <w:r>
              <w:rPr>
                <w:rFonts w:ascii="Arial" w:hAnsi="Arial" w:eastAsia="Arial" w:cs="Arial"/>
                <w:b/>
                <w:bCs/>
                <w:color w:val="970361"/>
                <w:sz w:val="36"/>
                <w:szCs w:val="36"/>
                <w:lang w:val="en-US" w:eastAsia="en-US" w:bidi="en-US"/>
              </w:rPr>
              <w:t xml:space="preserve">About the Team and the Role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left" w:pos="71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714" w:hanging="357"/>
              <w:rPr>
                <w:rFonts w:ascii="Arial" w:hAnsi="Arial" w:eastAsia="Arial" w:cs="Arial"/>
                <w:sz w:val="24"/>
                <w:szCs w:val="24"/>
                <w:lang w:val="en-GB" w:eastAsia="en-GB" w:bidi="en-GB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en-GB" w:eastAsia="en-GB" w:bidi="en-GB"/>
              </w:rPr>
              <w:t xml:space="preserve">This role, as part of the Communications Department, is central to Mencap’s mission to b</w:t>
            </w:r>
            <w:r>
              <w:drawing>
                <wp:anchor distT="0" distB="0" distL="114300" distR="114300" simplePos="0" relativeHeight="251659263" behindDoc="1" locked="0" layoutInCell="1" hidden="0" allowOverlap="1">
                  <wp:simplePos x="0" y="0"/>
                  <wp:positionH relativeFrom="page">
                    <wp:posOffset>457200</wp:posOffset>
                  </wp:positionH>
                  <wp:positionV relativeFrom="page">
                    <wp:posOffset>9245600</wp:posOffset>
                  </wp:positionV>
                  <wp:extent cx="3486150" cy="5168900"/>
                  <wp:wrapNone/>
                  <wp:docPr id="6" name="_tx_id_1_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516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sz w:val="24"/>
                <w:szCs w:val="24"/>
                <w:lang w:val="en-GB" w:eastAsia="en-GB" w:bidi="en-GB"/>
              </w:rPr>
              <w:t xml:space="preserve">reak down societal barriers for people with a learning disability. You’ll lead the work that ensures real voices and lived experiences are at the heart of our communications and campaigns.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hanging="360"/>
              <w:rPr>
                <w:rFonts w:ascii="Arial" w:hAnsi="Arial" w:eastAsia="Arial" w:cs="Arial"/>
                <w:lang w:val="en-GB" w:eastAsia="en-GB" w:bidi="en-GB"/>
              </w:rPr>
            </w:pPr>
            <w:r>
              <w:drawing>
                <wp:anchor distT="0" distB="0" distL="114300" distR="114300" simplePos="0" relativeHeight="251660287" behindDoc="1" locked="0" layoutInCell="1" hidden="0" allowOverlap="1">
                  <wp:simplePos x="0" y="0"/>
                  <wp:positionH relativeFrom="page">
                    <wp:posOffset>457200</wp:posOffset>
                  </wp:positionH>
                  <wp:positionV relativeFrom="page">
                    <wp:posOffset>10336530</wp:posOffset>
                  </wp:positionV>
                  <wp:extent cx="3411855" cy="5059045"/>
                  <wp:wrapNone/>
                  <wp:docPr id="5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855" cy="505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lang w:val="en-GB" w:eastAsia="en-GB" w:bidi="en-GB"/>
              </w:rPr>
              <w:t xml:space="preserve">This role will lead Mencap’s storytelling approach, making sure our communications reflect the authentic experiences of people with a learning disability, their families, and supporters.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hanging="360"/>
              <w:rPr>
                <w:rFonts w:ascii="Arial" w:hAnsi="Arial" w:eastAsia="Arial" w:cs="Arial"/>
                <w:lang w:val="en-GB" w:eastAsia="en-GB" w:bidi="en-GB"/>
              </w:rPr>
            </w:pPr>
            <w:r>
              <w:rPr>
                <w:rFonts w:ascii="Arial" w:hAnsi="Arial" w:eastAsia="Arial" w:cs="Arial"/>
                <w:lang w:val="en-GB" w:eastAsia="en-GB" w:bidi="en-GB"/>
              </w:rPr>
              <w:t xml:space="preserve">It reports into the Head of Media , and initially manage and support two team members: a Stories Content Officer and an Ambassador &amp; Influencer Officer, helping them thrive and deliver impactful work.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hanging="360"/>
              <w:rPr>
                <w:rFonts w:ascii="Arial" w:hAnsi="Arial" w:eastAsia="Arial" w:cs="Arial"/>
                <w:lang w:val="en-GB" w:eastAsia="en-GB" w:bidi="en-GB"/>
              </w:rPr>
            </w:pPr>
            <w:r>
              <w:rPr>
                <w:rFonts w:ascii="Arial" w:hAnsi="Arial" w:eastAsia="Arial" w:cs="Arial"/>
                <w:lang w:val="en-GB" w:eastAsia="en-GB" w:bidi="en-GB"/>
              </w:rPr>
              <w:t xml:space="preserve">The role will work across teams to advise on how to use approach and use stories effectively in a range of outputs, to fulfil objectives from awareness raising to fundraising amongst others. 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hanging="360"/>
              <w:rPr>
                <w:rFonts w:ascii="Arial" w:hAnsi="Arial" w:eastAsia="Arial" w:cs="Arial"/>
                <w:lang w:val="en-GB" w:eastAsia="en-GB" w:bidi="en-GB"/>
              </w:rPr>
            </w:pPr>
            <w:r>
              <w:rPr>
                <w:rFonts w:ascii="Arial" w:hAnsi="Arial" w:eastAsia="Arial" w:cs="Arial"/>
                <w:lang w:val="en-GB" w:eastAsia="en-GB" w:bidi="en-GB"/>
              </w:rPr>
              <w:t xml:space="preserve">The role will build and maintain relationships with storytellers, ambassadors with a learning disability (Mencap Myth Busters), celebrities and influencers, ensuring they feel confident and supported.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hanging="360"/>
              <w:rPr>
                <w:rFonts w:ascii="Arial" w:hAnsi="Arial" w:eastAsia="Arial" w:cs="Arial"/>
                <w:lang w:val="en-GB" w:eastAsia="en-GB" w:bidi="en-GB"/>
              </w:rPr>
            </w:pPr>
            <w:r>
              <w:rPr>
                <w:rFonts w:ascii="Arial" w:hAnsi="Arial" w:eastAsia="Arial" w:cs="Arial"/>
                <w:lang w:val="en-GB" w:eastAsia="en-GB" w:bidi="en-GB"/>
              </w:rPr>
              <w:t xml:space="preserve">The role oversees, and is involved in, collecting, organising and sharing stories for use across multiple channels, responding to internal and external requests.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hanging="360"/>
              <w:rPr>
                <w:rFonts w:ascii="Arial" w:hAnsi="Arial" w:eastAsia="Arial" w:cs="Arial"/>
                <w:lang w:val="en-GB" w:eastAsia="en-GB" w:bidi="en-GB"/>
              </w:rPr>
            </w:pPr>
            <w:r>
              <w:rPr>
                <w:rFonts w:ascii="Arial" w:hAnsi="Arial" w:eastAsia="Arial" w:cs="Arial"/>
                <w:lang w:val="en-GB" w:eastAsia="en-GB" w:bidi="en-GB"/>
              </w:rPr>
              <w:t xml:space="preserve">The role will champion inclusive and ethical storytelling, ensuring dignity, respect, and representation in everything we produce.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hanging="360"/>
              <w:rPr>
                <w:rFonts w:ascii="Arial" w:hAnsi="Arial" w:eastAsia="Arial" w:cs="Arial"/>
                <w:lang w:val="en-GB" w:eastAsia="en-GB" w:bidi="en-GB"/>
              </w:rPr>
            </w:pPr>
            <w:r>
              <w:rPr>
                <w:rFonts w:ascii="Arial" w:hAnsi="Arial" w:eastAsia="Arial" w:cs="Arial"/>
                <w:lang w:val="en-GB" w:eastAsia="en-GB" w:bidi="en-GB"/>
              </w:rPr>
              <w:t xml:space="preserve">This role will collaborate with high-profile supporters, including celebrities and influencers, to deepen their understanding of learning disability and increase their engagement with Mencap.</w:t>
            </w:r>
          </w:p>
          <w:p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Arial" w:hAnsi="Arial" w:eastAsia="Arial" w:cs="Arial"/>
                <w:lang w:val="en-GB" w:eastAsia="en-GB" w:bidi="en-GB"/>
              </w:rPr>
            </w:pP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Arial" w:hAnsi="Arial" w:eastAsia="Arial" w:cs="Arial"/>
                <w:sz w:val="24"/>
                <w:szCs w:val="24"/>
                <w:lang w:val="en-GB" w:eastAsia="en-GB" w:bidi="en-GB"/>
              </w:rPr>
            </w:pP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Arial" w:hAnsi="Arial" w:eastAsia="Arial" w:cs="Arial"/>
                <w:sz w:val="24"/>
                <w:szCs w:val="24"/>
                <w:lang w:val="en-GB" w:eastAsia="en-GB" w:bidi="en-GB"/>
              </w:rPr>
            </w:pPr>
          </w:p>
          <w:p>
            <w:pPr>
              <w:pStyle w:val="ListParagraph"/>
              <w:tabs>
                <w:tab w:val="left" w:pos="71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714"/>
              <w:rPr>
                <w:rFonts w:ascii="Arial" w:hAnsi="Arial" w:eastAsia="Arial" w:cs="Arial"/>
                <w:sz w:val="24"/>
                <w:szCs w:val="24"/>
                <w:lang w:val="en-GB" w:eastAsia="en-GB" w:bidi="en-GB"/>
              </w:rPr>
            </w:pPr>
          </w:p>
          <w:p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rPr>
                <w:rFonts w:ascii="Arial" w:hAnsi="Arial" w:eastAsia="Arial" w:cs="Arial"/>
                <w:sz w:val="24"/>
                <w:szCs w:val="24"/>
                <w:lang w:val="en-GB" w:eastAsia="en-GB" w:bidi="en-GB"/>
              </w:rPr>
            </w:pPr>
          </w:p>
        </w:tc>
      </w:tr>
    </w:tbl>
    <w:p>
      <w:pPr>
        <w:pStyle w:val="Normal"/>
        <w:tabs>
          <w:tab w:val="left" w:pos="450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line="240" w:lineRule="auto"/>
        <w:rPr>
          <w:rFonts w:ascii="Arial" w:hAnsi="Arial" w:eastAsia="Arial" w:cs="Arial"/>
          <w:b/>
          <w:bCs/>
          <w:color w:val="970361"/>
          <w:sz w:val="28"/>
          <w:szCs w:val="28"/>
          <w:lang w:val="en-US" w:eastAsia="en-US" w:bidi="en-US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255" w:type="dxa"/>
          <w:left w:w="255" w:type="dxa"/>
          <w:bottom w:w="227" w:type="dxa"/>
          <w:right w:w="255" w:type="dxa"/>
        </w:tblCellMar>
      </w:tblPr>
      <w:tblGrid>
        <w:gridCol w:w="10456"/>
      </w:tblGrid>
      <w:tr>
        <w:tc>
          <w:tcPr>
            <w:tcW w:w="10456" w:type="dxa"/>
            <w:shd w:val="clear" w:color="auto" w:fill="F8F0E2"/>
            <w:vAlign w:val="top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rPr>
                <w:rFonts w:ascii="Arial" w:hAnsi="Arial" w:eastAsia="Arial" w:cs="Arial"/>
                <w:b/>
                <w:bCs/>
                <w:color w:val="970361"/>
                <w:sz w:val="36"/>
                <w:szCs w:val="36"/>
                <w:lang w:val="en-US" w:eastAsia="en-US" w:bidi="en-US"/>
              </w:rPr>
            </w:pPr>
            <w:r>
              <w:rPr>
                <w:rFonts w:ascii="Arial" w:hAnsi="Arial" w:eastAsia="Arial" w:cs="Arial"/>
                <w:b/>
                <w:bCs/>
                <w:color w:val="970361"/>
                <w:sz w:val="36"/>
                <w:szCs w:val="36"/>
                <w:lang w:val="en-US" w:eastAsia="en-US" w:bidi="en-US"/>
              </w:rPr>
              <w:t xml:space="preserve">What you will bring to the role (Essentials)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rPr>
                <w:rFonts w:ascii="Arial" w:hAnsi="Arial" w:eastAsia="Arial" w:cs="Arial"/>
                <w:color w:val="000000"/>
                <w:sz w:val="24"/>
                <w:szCs w:val="24"/>
                <w:lang w:val="en-GB" w:eastAsia="en-GB" w:bidi="en-GB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en-GB" w:eastAsia="en-GB" w:bidi="en-GB"/>
              </w:rPr>
              <w:t xml:space="preserve">The successful candidate will:</w:t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ind w:hanging="360"/>
              <w:rPr>
                <w:rFonts w:ascii="Arial" w:hAnsi="Arial" w:eastAsia="Arial" w:cs="Arial"/>
                <w:color w:val="000000"/>
                <w:sz w:val="24"/>
                <w:szCs w:val="24"/>
                <w:lang w:val="en-GB" w:eastAsia="en-GB" w:bidi="en-GB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en-GB" w:eastAsia="en-GB" w:bidi="en-GB"/>
              </w:rPr>
              <w:t xml:space="preserve">Be passionate about inclusion and ethical storytelling, with experience of managing consent for communications.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ind w:hanging="360"/>
              <w:rPr>
                <w:rFonts w:ascii="Arial" w:hAnsi="Arial" w:eastAsia="Arial" w:cs="Arial"/>
                <w:lang w:val="en-GB" w:eastAsia="en-GB" w:bidi="en-GB"/>
              </w:rPr>
            </w:pPr>
            <w:r>
              <w:rPr>
                <w:rFonts w:ascii="Arial" w:hAnsi="Arial" w:eastAsia="Arial" w:cs="Arial"/>
                <w:lang w:val="en-GB" w:eastAsia="en-GB" w:bidi="en-GB"/>
              </w:rPr>
              <w:t xml:space="preserve">Be highly skilled at building trusting relationships with a wide range of people, including those with lived experience and those with a significant public profile, while maintaining clear professional boundaries.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ind w:hanging="360"/>
              <w:rPr>
                <w:rFonts w:ascii="Arial" w:hAnsi="Arial" w:eastAsia="Arial" w:cs="Arial"/>
                <w:lang w:val="en-GB" w:eastAsia="en-GB" w:bidi="en-GB"/>
              </w:rPr>
            </w:pPr>
            <w:r>
              <w:rPr>
                <w:rFonts w:ascii="Arial" w:hAnsi="Arial" w:eastAsia="Arial" w:cs="Arial"/>
                <w:lang w:val="en-GB" w:eastAsia="en-GB" w:bidi="en-GB"/>
              </w:rPr>
              <w:t xml:space="preserve">Know how to identify powerful stories and recommend the best ways to share them across a range of communications channels.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ind w:hanging="360"/>
              <w:rPr>
                <w:rFonts w:ascii="Arial" w:hAnsi="Arial" w:eastAsia="Arial" w:cs="Arial"/>
                <w:lang w:val="en-GB" w:eastAsia="en-GB" w:bidi="en-GB"/>
              </w:rPr>
            </w:pPr>
            <w:r>
              <w:rPr>
                <w:rFonts w:ascii="Arial" w:hAnsi="Arial" w:eastAsia="Arial" w:cs="Arial"/>
                <w:lang w:val="en-GB" w:eastAsia="en-GB" w:bidi="en-GB"/>
              </w:rPr>
              <w:t xml:space="preserve">Have demonstrable and extensive experience of confidently manage multiple priorities, requests, and relationships across internal teams.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ind w:hanging="360"/>
              <w:rPr>
                <w:rFonts w:ascii="Arial" w:hAnsi="Arial" w:eastAsia="Arial" w:cs="Arial"/>
                <w:lang w:val="en-GB" w:eastAsia="en-GB" w:bidi="en-GB"/>
              </w:rPr>
            </w:pPr>
            <w:r>
              <w:rPr>
                <w:rFonts w:ascii="Arial" w:hAnsi="Arial" w:eastAsia="Arial" w:cs="Arial"/>
                <w:lang w:val="en-GB" w:eastAsia="en-GB" w:bidi="en-GB"/>
              </w:rPr>
              <w:t xml:space="preserve">Be able to recognise and escalate safeguarding concerns appropriately and sensitively.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ind w:hanging="360"/>
              <w:rPr>
                <w:rFonts w:ascii="Arial" w:hAnsi="Arial" w:eastAsia="Arial" w:cs="Arial"/>
                <w:lang w:val="en-GB" w:eastAsia="en-GB" w:bidi="en-GB"/>
              </w:rPr>
            </w:pPr>
            <w:r>
              <w:rPr>
                <w:rFonts w:ascii="Arial" w:hAnsi="Arial" w:eastAsia="Arial" w:cs="Arial"/>
                <w:lang w:val="en-GB" w:eastAsia="en-GB" w:bidi="en-GB"/>
              </w:rPr>
              <w:t xml:space="preserve">Have experience of using databases to effectively manage stories, approvals, consent, etc. 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ind w:hanging="360"/>
              <w:rPr>
                <w:rFonts w:ascii="Arial" w:hAnsi="Arial" w:eastAsia="Arial" w:cs="Arial"/>
                <w:lang w:val="en-GB" w:eastAsia="en-GB" w:bidi="en-GB"/>
              </w:rPr>
            </w:pPr>
            <w:r>
              <w:rPr>
                <w:rFonts w:ascii="Arial" w:hAnsi="Arial" w:eastAsia="Arial" w:cs="Arial"/>
                <w:lang w:val="en-GB" w:eastAsia="en-GB" w:bidi="en-GB"/>
              </w:rPr>
              <w:t xml:space="preserve">Have experience of working on charity communications campaigns.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ind w:hanging="360"/>
              <w:rPr>
                <w:rFonts w:ascii="Arial" w:hAnsi="Arial" w:eastAsia="Arial" w:cs="Arial"/>
                <w:lang w:val="en-GB" w:eastAsia="en-GB" w:bidi="en-GB"/>
              </w:rPr>
            </w:pPr>
            <w:r>
              <w:rPr>
                <w:rFonts w:ascii="Arial" w:hAnsi="Arial" w:eastAsia="Arial" w:cs="Arial"/>
                <w:lang w:val="en-GB" w:eastAsia="en-GB" w:bidi="en-GB"/>
              </w:rPr>
              <w:t xml:space="preserve">Have experience of managing people and projects.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rPr>
                <w:rFonts w:ascii="Arial" w:hAnsi="Arial" w:eastAsia="Arial" w:cs="Arial"/>
                <w:color w:val="000000"/>
                <w:sz w:val="24"/>
                <w:szCs w:val="24"/>
                <w:lang w:val="en-GB" w:eastAsia="en-GB" w:bidi="en-GB"/>
              </w:rPr>
            </w:pPr>
          </w:p>
        </w:tc>
      </w:tr>
    </w:tbl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uto"/>
        <w:rPr>
          <w:rFonts w:ascii="Arial" w:hAnsi="Arial" w:eastAsia="Arial" w:cs="Arial"/>
          <w:b/>
          <w:bCs/>
          <w:color w:val="970361"/>
          <w:sz w:val="28"/>
          <w:szCs w:val="28"/>
          <w:lang w:val="en-US" w:eastAsia="en-US" w:bidi="en-US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60"/>
      </w:tblGrid>
      <w:tr>
        <w:tc>
          <w:tcPr>
            <w:tcW w:w="10460" w:type="dxa"/>
            <w:shd w:val="clear" w:color="auto" w:fill="521574"/>
            <w:vAlign w:val="top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76" w:lineRule="auto"/>
              <w:rPr>
                <w:rFonts w:ascii="Arial" w:hAnsi="Arial" w:eastAsia="Arial" w:cs="Arial"/>
                <w:b/>
                <w:bCs/>
                <w:color w:val="FFFFFF"/>
                <w:sz w:val="28"/>
                <w:szCs w:val="28"/>
                <w:lang w:val="en-US" w:eastAsia="en-US" w:bidi="en-US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8"/>
                <w:szCs w:val="28"/>
                <w:lang w:val="en-US" w:eastAsia="en-US" w:bidi="en-US"/>
              </w:rPr>
              <w:drawing>
                <wp:inline distT="0" distB="0" distL="0" distR="0">
                  <wp:extent cx="6642100" cy="2692400"/>
                  <wp:docPr id="4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0" cy="26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Footer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line="276" w:lineRule="auto"/>
              <w:jc w:val="center"/>
              <w:rPr>
                <w:rFonts w:ascii="Arial" w:hAnsi="Arial" w:eastAsia="Arial" w:cs="Arial"/>
                <w:color w:val="FFFFFF"/>
                <w:sz w:val="24"/>
                <w:szCs w:val="24"/>
                <w:lang w:val="en-GB" w:eastAsia="en-GB" w:bidi="en-GB"/>
              </w:rPr>
            </w:pPr>
          </w:p>
          <w:p>
            <w:pPr>
              <w:pStyle w:val="Footer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line="276" w:lineRule="auto"/>
              <w:jc w:val="center"/>
              <w:rPr>
                <w:rStyle w:val="Strong"/>
                <w:rFonts w:ascii="Arial" w:hAnsi="Arial" w:eastAsia="Arial" w:cs="Arial"/>
                <w:color w:val="FFFFFF"/>
                <w:sz w:val="28"/>
                <w:szCs w:val="28"/>
                <w:lang w:val="en-GB" w:eastAsia="en-GB" w:bidi="en-GB"/>
              </w:rPr>
            </w:pPr>
            <w:r>
              <w:rPr>
                <w:rStyle w:val="Strong"/>
                <w:rFonts w:ascii="Arial" w:hAnsi="Arial" w:eastAsia="Arial" w:cs="Arial"/>
                <w:color w:val="FFFFFF"/>
                <w:sz w:val="28"/>
                <w:szCs w:val="28"/>
                <w:lang w:val="en-GB" w:eastAsia="en-GB" w:bidi="en-GB"/>
              </w:rPr>
              <w:t xml:space="preserve">“This isn’t just a job - it’s a chance to help change the lives of people </w:t>
            </w:r>
          </w:p>
          <w:p>
            <w:pPr>
              <w:pStyle w:val="Footer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line="276" w:lineRule="auto"/>
              <w:jc w:val="center"/>
              <w:rPr>
                <w:rFonts w:ascii="Arial" w:hAnsi="Arial" w:eastAsia="Arial" w:cs="Arial"/>
                <w:b/>
                <w:bCs/>
                <w:color w:val="FFFFFF"/>
                <w:sz w:val="28"/>
                <w:szCs w:val="28"/>
                <w:lang w:val="en-GB" w:eastAsia="en-GB" w:bidi="en-GB"/>
              </w:rPr>
            </w:pPr>
            <w:r>
              <w:rPr>
                <w:rStyle w:val="Strong"/>
                <w:rFonts w:ascii="Arial" w:hAnsi="Arial" w:eastAsia="Arial" w:cs="Arial"/>
                <w:color w:val="FFFFFF"/>
                <w:sz w:val="28"/>
                <w:szCs w:val="28"/>
                <w:lang w:val="en-GB" w:eastAsia="en-GB" w:bidi="en-GB"/>
              </w:rPr>
              <w:t xml:space="preserve">with a learning disability and their families. If you’re passionate about </w:t>
              <w:br w:type="textWrapping"/>
            </w:r>
            <w:r>
              <w:rPr>
                <w:rStyle w:val="Strong"/>
                <w:rFonts w:ascii="Arial" w:hAnsi="Arial" w:eastAsia="Arial" w:cs="Arial"/>
                <w:color w:val="FFFFFF"/>
                <w:sz w:val="28"/>
                <w:szCs w:val="28"/>
                <w:lang w:val="en-GB" w:eastAsia="en-GB" w:bidi="en-GB"/>
              </w:rPr>
              <w:t xml:space="preserve">making a difference, join Mencap in building a more inclusive future.”</w:t>
            </w:r>
          </w:p>
          <w:p>
            <w:pPr>
              <w:pStyle w:val="Footer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line="276" w:lineRule="auto"/>
              <w:rPr>
                <w:rFonts w:ascii="Arial" w:hAnsi="Arial" w:eastAsia="Arial" w:cs="Arial"/>
                <w:color w:val="FFFFFF"/>
                <w:sz w:val="24"/>
                <w:szCs w:val="24"/>
                <w:lang w:val="en-GB" w:eastAsia="en-GB" w:bidi="en-GB"/>
              </w:rPr>
            </w:pPr>
          </w:p>
        </w:tc>
      </w:tr>
    </w:tbl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uto"/>
        <w:rPr>
          <w:rFonts w:ascii="Arial" w:hAnsi="Arial" w:eastAsia="Arial" w:cs="Arial"/>
          <w:b/>
          <w:bCs/>
          <w:color w:val="970361"/>
          <w:sz w:val="28"/>
          <w:szCs w:val="28"/>
          <w:lang w:val="en-US" w:eastAsia="en-US" w:bidi="en-US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255" w:type="dxa"/>
          <w:left w:w="255" w:type="dxa"/>
          <w:bottom w:w="255" w:type="dxa"/>
          <w:right w:w="255" w:type="dxa"/>
        </w:tblCellMar>
      </w:tblPr>
      <w:tblGrid>
        <w:gridCol w:w="10456"/>
      </w:tblGrid>
      <w:tr>
        <w:tc>
          <w:tcPr>
            <w:tcW w:w="10456" w:type="dxa"/>
            <w:shd w:val="clear" w:color="auto" w:fill="F8F0E2"/>
            <w:vAlign w:val="top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rPr>
                <w:rFonts w:ascii="Arial" w:hAnsi="Arial" w:eastAsia="Arial" w:cs="Arial"/>
                <w:b/>
                <w:bCs/>
                <w:color w:val="970361"/>
                <w:sz w:val="36"/>
                <w:szCs w:val="36"/>
                <w:lang w:val="en-US" w:eastAsia="en-US" w:bidi="en-US"/>
              </w:rPr>
            </w:pPr>
            <w:r>
              <w:rPr>
                <w:rFonts w:ascii="Arial" w:hAnsi="Arial" w:eastAsia="Arial" w:cs="Arial"/>
                <w:b/>
                <w:bCs/>
                <w:color w:val="970361"/>
                <w:sz w:val="36"/>
                <w:szCs w:val="36"/>
                <w:lang w:val="en-US" w:eastAsia="en-US" w:bidi="en-US"/>
              </w:rPr>
              <w:t xml:space="preserve">Mencap and our Commitment to Safeguarding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rPr>
                <w:rFonts w:ascii="Arial" w:hAnsi="Arial" w:eastAsia="Arial" w:cs="Arial"/>
                <w:color w:val="000000"/>
                <w:sz w:val="24"/>
                <w:szCs w:val="24"/>
                <w:lang w:val="en-GB" w:eastAsia="en-GB" w:bidi="en-GB"/>
              </w:rPr>
            </w:pPr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en-GB" w:eastAsia="en-GB" w:bidi="en-GB"/>
              </w:rPr>
              <w:t xml:space="preserve">Mencap is committed to safeguarding and promoting the welfare of children, young people and vulnerable adults, and expects all staff and volunteers to share this commitment.</w:t>
            </w:r>
            <w:r>
              <w:rPr>
                <w:color w:val="000000"/>
                <w:sz w:val="24"/>
                <w:szCs w:val="24"/>
                <w:lang w:val="en-GB" w:eastAsia="en-GB" w:bidi="en-GB"/>
              </w:rPr>
              <w:t xml:space="preserve"> 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rPr>
                <w:rFonts w:ascii="Arial" w:hAnsi="Arial" w:eastAsia="Arial" w:cs="Arial"/>
                <w:color w:val="000000"/>
                <w:sz w:val="24"/>
                <w:szCs w:val="24"/>
                <w:lang w:val="en-GB" w:eastAsia="en-GB" w:bidi="en-GB"/>
              </w:rPr>
            </w:pPr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en-GB" w:eastAsia="en-GB" w:bidi="en-GB"/>
              </w:rPr>
              <w:t xml:space="preserve">Successful applicants will be subject to appropriate pre-employment checks, including references and, where applicable, an enhanced Disclosure and Barring Service (DBS) check.</w:t>
            </w:r>
            <w:r>
              <w:rPr>
                <w:color w:val="000000"/>
                <w:sz w:val="24"/>
                <w:szCs w:val="24"/>
                <w:lang w:val="en-GB" w:eastAsia="en-GB" w:bidi="en-GB"/>
              </w:rPr>
              <w:t xml:space="preserve"> 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rPr>
                <w:rFonts w:ascii="Arial" w:hAnsi="Arial" w:eastAsia="Arial" w:cs="Arial"/>
                <w:color w:val="000000"/>
                <w:sz w:val="24"/>
                <w:szCs w:val="24"/>
                <w:lang w:val="en-GB" w:eastAsia="en-GB" w:bidi="en-GB"/>
              </w:rPr>
            </w:pP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rPr>
                <w:rFonts w:ascii="Arial" w:hAnsi="Arial" w:eastAsia="Arial" w:cs="Arial"/>
                <w:color w:val="000000"/>
                <w:sz w:val="24"/>
                <w:szCs w:val="24"/>
                <w:lang w:val="en-GB" w:eastAsia="en-GB" w:bidi="en-GB"/>
              </w:rPr>
            </w:pP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rPr>
                <w:rFonts w:ascii="Arial" w:hAnsi="Arial" w:eastAsia="Arial" w:cs="Arial"/>
                <w:color w:val="000000"/>
                <w:sz w:val="24"/>
                <w:szCs w:val="24"/>
                <w:lang w:val="en-GB" w:eastAsia="en-GB" w:bidi="en-GB"/>
              </w:rPr>
            </w:pP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76" w:lineRule="auto"/>
              <w:rPr>
                <w:rFonts w:ascii="Arial" w:hAnsi="Arial" w:eastAsia="Arial" w:cs="Arial"/>
                <w:color w:val="000000"/>
                <w:sz w:val="24"/>
                <w:szCs w:val="24"/>
                <w:lang w:val="en-GB" w:eastAsia="en-GB" w:bidi="en-GB"/>
              </w:rPr>
            </w:pPr>
          </w:p>
        </w:tc>
      </w:tr>
    </w:tbl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eastAsia="Arial" w:cs="Arial"/>
          <w:b/>
          <w:bCs/>
          <w:lang w:val="en-GB" w:eastAsia="en-GB" w:bidi="en-GB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eastAsia="Arial" w:cs="Arial"/>
          <w:b/>
          <w:bCs/>
          <w:lang w:val="en-GB" w:eastAsia="en-GB" w:bidi="en-GB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eastAsia="Arial" w:cs="Arial"/>
          <w:b/>
          <w:bCs/>
          <w:lang w:val="en-GB" w:eastAsia="en-GB" w:bidi="en-GB"/>
        </w:rPr>
      </w:pPr>
    </w:p>
    <w:sectPr>
      <w:headerReference w:type="default" r:id="rId00012"/>
      <w:footerReference w:type="default" r:id="rId00013"/>
      <w:headerReference w:type="first" r:id="rId00014"/>
      <w:footerReference w:type="first" r:id="rId00015"/>
      <w:pgSz w:w="11906" w:h="16838"/>
      <w:pgMar w:top="720" w:right="720" w:bottom="720" w:left="720" w:header="454" w:footer="709"/>
      <w:titlePg/>
      <w15:footnoteColumns w:val="1"/>
    </w:sectPr>
  </w:body>
</w:document>
</file>

<file path=word/fontTable.xml><?xml version="1.0" encoding="utf-8"?>
<w:fonts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400001FF" w:csb1="FFFF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200001FF" w:csb1="00000000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 xmlns:mc="http://schemas.openxmlformats.org/markup-compatibility/2006" xmlns:w14="http://schemas.microsoft.com/office/word/2010/wordml" xmlns:wpc="http://schemas.microsoft.com/office/word/2010/wordprocessingCanvas" xmlns:wpg="http://schemas.microsoft.com/office/word/2010/wordprocessingGroup" xmlns:wps="http://schemas.microsoft.com/office/word/2010/wordprocessingShape" xmlns:w15="http://schemas.microsoft.com/office/word/2012/wordml" xmlns:w16du="http://schemas.microsoft.com/office/word/2023/wordml/word16du" xmlns:tx19="http://schemas.textcontrol.com/tx/1900" xmlns:tx23="http://schemas.textcontrol.com/tx/2300" xmlns:tx26="http://schemas.textcontrol.com/tx/2600" mc:Ignorable="w14 wpc wpg wps w15 w16du tx19 tx23 tx26">
  <w:tbl>
    <w:tblPr>
      <w:tblW w:w="0" w:type="auto"/>
      <w:jc w:val="left"/>
      <w:tblInd w:w="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485"/>
      <w:gridCol w:w="3485"/>
      <w:gridCol w:w="3485"/>
    </w:tblGrid>
    <w:tr>
      <w:trPr>
        <w:trHeight w:val="300" w:hRule="atLeast"/>
      </w:trPr>
      <w:tc>
        <w:tcPr>
          <w:tcW w:w="3485" w:type="dxa"/>
          <w:shd w:val="clear" w:color="auto" w:fill="auto"/>
          <w:vAlign w:val="top"/>
        </w:tcPr>
        <w:p>
          <w:pPr>
            <w:pStyle w:val="Header"/>
            <w:tabs>
              <w:tab w:val="lef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</w:tabs>
            <w:rPr>
              <w:rFonts w:ascii="Arial" w:hAnsi="Arial" w:eastAsia="Arial" w:cs="Arial"/>
              <w:b/>
              <w:bCs/>
              <w:lang w:val="en-GB" w:eastAsia="en-GB" w:bidi="en-GB"/>
            </w:rPr>
          </w:pPr>
        </w:p>
      </w:tc>
      <w:tc>
        <w:tcPr>
          <w:tcW w:w="3485" w:type="dxa"/>
          <w:shd w:val="clear" w:color="auto" w:fill="auto"/>
          <w:vAlign w:val="top"/>
        </w:tcPr>
        <w:p>
          <w:pPr>
            <w:pStyle w:val="Header"/>
            <w:tabs>
              <w:tab w:val="lef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</w:tabs>
            <w:jc w:val="center"/>
            <w:rPr>
              <w:lang w:val="en-GB" w:eastAsia="en-GB" w:bidi="en-GB"/>
            </w:rPr>
          </w:pPr>
        </w:p>
      </w:tc>
      <w:tc>
        <w:tcPr>
          <w:tcW w:w="3485" w:type="dxa"/>
          <w:shd w:val="clear" w:color="auto" w:fill="auto"/>
          <w:vAlign w:val="top"/>
        </w:tcPr>
        <w:p>
          <w:pPr>
            <w:pStyle w:val="Header"/>
            <w:tabs>
              <w:tab w:val="lef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</w:tabs>
            <w:jc w:val="right"/>
            <w:rPr>
              <w:lang w:val="en-GB" w:eastAsia="en-GB" w:bidi="en-GB"/>
            </w:rPr>
          </w:pPr>
        </w:p>
      </w:tc>
    </w:tr>
  </w:tbl>
  <w:p>
    <w:pPr>
      <w:pStyle w:val="Footer"/>
      <w:tabs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rPr>
        <w:lang w:val="en-GB" w:eastAsia="en-GB" w:bidi="en-GB"/>
      </w:rPr>
    </w:pPr>
    <w: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-1007745</wp:posOffset>
          </wp:positionH>
          <wp:positionV relativeFrom="paragraph">
            <wp:posOffset>0</wp:posOffset>
          </wp:positionV>
          <wp:extent cx="8818880" cy="533400"/>
          <wp:wrapNone/>
          <wp:docPr id="1" name="Picture 2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6"/>
                  <a:stretch>
                    <a:fillRect/>
                  </a:stretch>
                </pic:blipFill>
                <pic:spPr>
                  <a:xfrm>
                    <a:off x="0" y="0"/>
                    <a:ext cx="881888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0001_first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 xmlns:mc="http://schemas.openxmlformats.org/markup-compatibility/2006" xmlns:w14="http://schemas.microsoft.com/office/word/2010/wordml" xmlns:wpc="http://schemas.microsoft.com/office/word/2010/wordprocessingCanvas" xmlns:wpg="http://schemas.microsoft.com/office/word/2010/wordprocessingGroup" xmlns:wps="http://schemas.microsoft.com/office/word/2010/wordprocessingShape" xmlns:w15="http://schemas.microsoft.com/office/word/2012/wordml" xmlns:w16du="http://schemas.microsoft.com/office/word/2023/wordml/word16du" xmlns:tx19="http://schemas.textcontrol.com/tx/1900" xmlns:tx23="http://schemas.textcontrol.com/tx/2300" xmlns:tx26="http://schemas.textcontrol.com/tx/2600" mc:Ignorable="w14 wpc wpg wps w15 w16du tx19 tx23 tx26">
  <w:tbl>
    <w:tblPr>
      <w:tblW w:w="0" w:type="auto"/>
      <w:jc w:val="left"/>
      <w:tblInd w:w="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485"/>
      <w:gridCol w:w="3485"/>
      <w:gridCol w:w="3485"/>
    </w:tblGrid>
    <w:tr>
      <w:trPr>
        <w:trHeight w:val="300" w:hRule="atLeast"/>
      </w:trPr>
      <w:tc>
        <w:tcPr>
          <w:tcW w:w="3485" w:type="dxa"/>
          <w:shd w:val="clear" w:color="auto" w:fill="auto"/>
          <w:vAlign w:val="top"/>
        </w:tcPr>
        <w:p>
          <w:pPr>
            <w:pStyle w:val="Header"/>
            <w:tabs>
              <w:tab w:val="lef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</w:tabs>
            <w:rPr>
              <w:lang w:val="en-GB" w:eastAsia="en-GB" w:bidi="en-GB"/>
            </w:rPr>
          </w:pPr>
        </w:p>
      </w:tc>
      <w:tc>
        <w:tcPr>
          <w:tcW w:w="3485" w:type="dxa"/>
          <w:shd w:val="clear" w:color="auto" w:fill="auto"/>
          <w:vAlign w:val="top"/>
        </w:tcPr>
        <w:p>
          <w:pPr>
            <w:pStyle w:val="Header"/>
            <w:tabs>
              <w:tab w:val="lef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</w:tabs>
            <w:jc w:val="center"/>
            <w:rPr>
              <w:lang w:val="en-GB" w:eastAsia="en-GB" w:bidi="en-GB"/>
            </w:rPr>
          </w:pPr>
        </w:p>
      </w:tc>
      <w:tc>
        <w:tcPr>
          <w:tcW w:w="3485" w:type="dxa"/>
          <w:shd w:val="clear" w:color="auto" w:fill="auto"/>
          <w:vAlign w:val="top"/>
        </w:tcPr>
        <w:p>
          <w:pPr>
            <w:pStyle w:val="Header"/>
            <w:tabs>
              <w:tab w:val="lef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</w:tabs>
            <w:jc w:val="right"/>
            <w:rPr>
              <w:lang w:val="en-GB" w:eastAsia="en-GB" w:bidi="en-GB"/>
            </w:rPr>
          </w:pPr>
        </w:p>
      </w:tc>
    </w:tr>
  </w:tbl>
  <w:p>
    <w:pPr>
      <w:pStyle w:val="Footer"/>
      <w:tabs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rPr>
        <w:lang w:val="en-GB" w:eastAsia="en-GB" w:bidi="en-GB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 xmlns:mc="http://schemas.openxmlformats.org/markup-compatibility/2006" xmlns:w14="http://schemas.microsoft.com/office/word/2010/wordml" xmlns:wpc="http://schemas.microsoft.com/office/word/2010/wordprocessingCanvas" xmlns:wpg="http://schemas.microsoft.com/office/word/2010/wordprocessingGroup" xmlns:wps="http://schemas.microsoft.com/office/word/2010/wordprocessingShape" xmlns:w15="http://schemas.microsoft.com/office/word/2012/wordml" xmlns:w16du="http://schemas.microsoft.com/office/word/2023/wordml/word16du" xmlns:tx19="http://schemas.textcontrol.com/tx/1900" xmlns:tx23="http://schemas.textcontrol.com/tx/2300" xmlns:tx26="http://schemas.textcontrol.com/tx/2600" mc:Ignorable="w14 wpc wpg wps w15 w16du tx19 tx23 tx26">
  <w:tbl>
    <w:tblPr>
      <w:tblW w:w="0" w:type="auto"/>
      <w:jc w:val="left"/>
      <w:tblInd w:w="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485"/>
      <w:gridCol w:w="3485"/>
      <w:gridCol w:w="3485"/>
    </w:tblGrid>
    <w:tr>
      <w:trPr>
        <w:trHeight w:val="300" w:hRule="atLeast"/>
      </w:trPr>
      <w:tc>
        <w:tcPr>
          <w:tcW w:w="3485" w:type="dxa"/>
          <w:shd w:val="clear" w:color="auto" w:fill="auto"/>
          <w:vAlign w:val="top"/>
        </w:tcPr>
        <w:p>
          <w:pPr>
            <w:pStyle w:val="Header"/>
            <w:tabs>
              <w:tab w:val="left" w:pos="1042"/>
              <w:tab w:val="left" w:pos="1440"/>
              <w:tab w:val="left" w:pos="2160"/>
              <w:tab w:val="left" w:pos="2880"/>
              <w:tab w:val="left" w:pos="3600"/>
              <w:tab w:val="left" w:pos="4320"/>
              <w:tab w:val="clear" w:pos="4513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clear" w:pos="9026"/>
              <w:tab w:val="left" w:pos="9360"/>
              <w:tab w:val="left" w:pos="10080"/>
            </w:tabs>
            <w:rPr>
              <w:lang w:val="en-GB" w:eastAsia="en-GB" w:bidi="en-GB"/>
            </w:rPr>
          </w:pPr>
        </w:p>
      </w:tc>
      <w:tc>
        <w:tcPr>
          <w:tcW w:w="3485" w:type="dxa"/>
          <w:shd w:val="clear" w:color="auto" w:fill="auto"/>
          <w:vAlign w:val="top"/>
        </w:tcPr>
        <w:p>
          <w:pPr>
            <w:pStyle w:val="Header"/>
            <w:tabs>
              <w:tab w:val="lef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</w:tabs>
            <w:jc w:val="center"/>
            <w:rPr>
              <w:lang w:val="en-GB" w:eastAsia="en-GB" w:bidi="en-GB"/>
            </w:rPr>
          </w:pPr>
        </w:p>
      </w:tc>
      <w:tc>
        <w:tcPr>
          <w:tcW w:w="3485" w:type="dxa"/>
          <w:shd w:val="clear" w:color="auto" w:fill="auto"/>
          <w:vAlign w:val="top"/>
        </w:tcPr>
        <w:p>
          <w:pPr>
            <w:pStyle w:val="Header"/>
            <w:tabs>
              <w:tab w:val="lef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</w:tabs>
            <w:jc w:val="right"/>
            <w:rPr>
              <w:lang w:val="en-GB" w:eastAsia="en-GB" w:bidi="en-GB"/>
            </w:rPr>
          </w:pPr>
        </w:p>
      </w:tc>
    </w:tr>
  </w:tbl>
  <w:p>
    <w:pPr>
      <w:pStyle w:val="Header"/>
      <w:tabs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rPr>
        <w:lang w:val="en-GB" w:eastAsia="en-GB" w:bidi="en-GB"/>
      </w:rPr>
    </w:pPr>
  </w:p>
</w:hdr>
</file>

<file path=word/header0001_first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 xmlns:mc="http://schemas.openxmlformats.org/markup-compatibility/2006" xmlns:w14="http://schemas.microsoft.com/office/word/2010/wordml" xmlns:wpc="http://schemas.microsoft.com/office/word/2010/wordprocessingCanvas" xmlns:wpg="http://schemas.microsoft.com/office/word/2010/wordprocessingGroup" xmlns:wps="http://schemas.microsoft.com/office/word/2010/wordprocessingShape" xmlns:w15="http://schemas.microsoft.com/office/word/2012/wordml" xmlns:w16du="http://schemas.microsoft.com/office/word/2023/wordml/word16du" xmlns:tx19="http://schemas.textcontrol.com/tx/1900" xmlns:tx23="http://schemas.textcontrol.com/tx/2300" xmlns:tx26="http://schemas.textcontrol.com/tx/2600" mc:Ignorable="w14 wpc wpg wps w15 w16du tx19 tx23 tx26">
  <w:tbl>
    <w:tblPr>
      <w:tblW w:w="0" w:type="auto"/>
      <w:jc w:val="left"/>
      <w:tblInd w:w="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485"/>
      <w:gridCol w:w="3485"/>
      <w:gridCol w:w="3485"/>
    </w:tblGrid>
    <w:tr>
      <w:trPr>
        <w:trHeight w:val="300" w:hRule="atLeast"/>
      </w:trPr>
      <w:tc>
        <w:tcPr>
          <w:tcW w:w="3485" w:type="dxa"/>
          <w:shd w:val="clear" w:color="auto" w:fill="auto"/>
          <w:vAlign w:val="top"/>
        </w:tcPr>
        <w:p>
          <w:pPr>
            <w:pStyle w:val="Header"/>
            <w:tabs>
              <w:tab w:val="lef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</w:tabs>
            <w:rPr>
              <w:lang w:val="en-GB" w:eastAsia="en-GB" w:bidi="en-GB"/>
            </w:rPr>
          </w:pPr>
        </w:p>
      </w:tc>
      <w:tc>
        <w:tcPr>
          <w:tcW w:w="3485" w:type="dxa"/>
          <w:shd w:val="clear" w:color="auto" w:fill="auto"/>
          <w:vAlign w:val="top"/>
        </w:tcPr>
        <w:p>
          <w:pPr>
            <w:pStyle w:val="Header"/>
            <w:tabs>
              <w:tab w:val="lef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</w:tabs>
            <w:jc w:val="center"/>
            <w:rPr>
              <w:lang w:val="en-GB" w:eastAsia="en-GB" w:bidi="en-GB"/>
            </w:rPr>
          </w:pPr>
        </w:p>
      </w:tc>
      <w:tc>
        <w:tcPr>
          <w:tcW w:w="3485" w:type="dxa"/>
          <w:shd w:val="clear" w:color="auto" w:fill="auto"/>
          <w:vAlign w:val="top"/>
        </w:tcPr>
        <w:p>
          <w:pPr>
            <w:pStyle w:val="Header"/>
            <w:tabs>
              <w:tab w:val="lef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</w:tabs>
            <w:jc w:val="right"/>
            <w:rPr>
              <w:lang w:val="en-GB" w:eastAsia="en-GB" w:bidi="en-GB"/>
            </w:rPr>
          </w:pPr>
        </w:p>
      </w:tc>
    </w:tr>
  </w:tbl>
  <w:p>
    <w:pPr>
      <w:pStyle w:val="Header"/>
      <w:tabs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rPr>
        <w:lang w:val="en-GB" w:eastAsia="en-GB" w:bidi="en-GB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suff w:val="tab"/>
      <w:lvlText w:val=""/>
      <w:pPr>
        <w:ind w:left="714" w:hanging="357"/>
        <w:tabs>
          <w:tab w:val="num" w:pos="714"/>
        </w:tabs>
      </w:pPr>
      <w:rPr>
        <w:rFonts w:hint="default" w:ascii="Symbol" w:hAnsi="Symbol" w:eastAsia="Symbol" w:cs="Symbol"/>
        <w:b w:val="off"/>
        <w:i w:val="off"/>
        <w:strike w:val="off"/>
        <w:color w:val="auto"/>
        <w:position w:val="0"/>
        <w:sz w:val="24"/>
        <w:u w:val="none"/>
        <w:shd w:val="clear" w:color="auto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720" w:hanging="360"/>
        <w:tabs>
          <w:tab w:val="num" w:pos="720"/>
        </w:tabs>
      </w:pPr>
      <w:rPr>
        <w:rFonts w:hint="default" w:ascii="Symbol" w:hAnsi="Symbol" w:eastAsia="Symbol" w:cs="Symbol"/>
        <w:b w:val="off"/>
        <w:i w:val="off"/>
        <w:strike w:val="off"/>
        <w:color w:val="auto"/>
        <w:position w:val="0"/>
        <w:sz w:val="22"/>
        <w:u w:val="none"/>
        <w:shd w:val="clear" w:color="auto" w:fill="auto"/>
      </w:rPr>
    </w:lvl>
  </w:abstractNum>
  <w:abstractNum w:abstractNumId="2">
    <w:multiLevelType w:val="singleLevel"/>
    <w:lvl w:ilvl="0">
      <w:start w:val="1"/>
      <w:numFmt w:val="decimal"/>
      <w:suff w:val="tab"/>
      <w:lvlText w:val="%1."/>
      <w:pPr>
        <w:ind w:left="720" w:hanging="360"/>
        <w:tabs>
          <w:tab w:val="num" w:pos="720"/>
        </w:tabs>
      </w:pPr>
      <w:rPr>
        <w:rFonts w:hint="default" w:ascii="Arial" w:hAnsi="Arial" w:eastAsia="Arial" w:cs="Arial"/>
        <w:b w:val="off"/>
        <w:i w:val="off"/>
        <w:strike w:val="off"/>
        <w:color w:val="000000"/>
        <w:position w:val="0"/>
        <w:sz w:val="24"/>
        <w:u w:val="none"/>
        <w:shd w:val="clear" w:color="auto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lvl w:ilvl="0">
        <w:start w:val="1"/>
        <w:numFmt w:val="decimal"/>
        <w:suff w:val="tab"/>
        <w:lvlText w:val="%1."/>
        <w:pPr>
          <w:ind w:left="720" w:hanging="360"/>
          <w:tabs>
            <w:tab w:val="num" w:pos="720"/>
          </w:tabs>
        </w:pPr>
        <w:rPr>
          <w:rFonts w:hint="default" w:ascii="Arial" w:hAnsi="Arial" w:eastAsia="Arial" w:cs="Arial"/>
          <w:b w:val="off"/>
          <w:i w:val="off"/>
          <w:strike w:val="off"/>
          <w:color w:val="auto"/>
          <w:position w:val="0"/>
          <w:sz w:val="22"/>
          <w:u w:val="none"/>
          <w:shd w:val="clear" w:color="auto" w:fill="auto"/>
        </w:rPr>
      </w:lvl>
    </w:lvlOverride>
  </w:num>
</w:numbering>
</file>

<file path=word/settings.xml><?xml version="1.0" encoding="utf-8"?>
<w:settings xmlns:w="http://schemas.openxmlformats.org/wordprocessingml/2006/main" xmlns:mc="http://schemas.openxmlformats.org/markup-compatibility/2006" xmlns:tx24="http://schemas.textcontrol.com/tx/2400" xmlns:tx25="http://schemas.textcontrol.com/tx/2500" mc:Ignorable="tx24 tx25">
  <w:bordersDoNotSurroundHeader/>
  <w:defaultTabStop w:val="1134"/>
  <w:compat>
    <w:noExtraLineSpacing/>
    <w:doNotUseHTMLParagraphAutoSpacing/>
    <w:compatSetting w:name="compatibilityMode" w:uri="http://schemas.microsoft.com/office/word" w:val="15"/>
  </w:compat>
  <tx24:txVer tx24:val="32.0.434.50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style w:type="paragraph" w:styleId="[Normal]" w:customStyle="1">
    <w:name w:val="[Normal]"/>
    <w:basedOn w:val="Normal"/>
    <w:next w:val="[Normal]"/>
    <w:qFormat/>
    <w:pPr>
      <w:widowControl w:val="off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</w:pPr>
    <w:rPr>
      <w:rFonts w:ascii="Arial" w:hAnsi="Arial" w:eastAsia="Arial" w:cs="Arial"/>
      <w:sz w:val="20"/>
      <w:szCs w:val="20"/>
      <w:lang w:val="en-GB" w:eastAsia="en-GB" w:bidi="en-GB"/>
    </w:rPr>
  </w:style>
  <w:style w:type="paragraph" w:styleId="Normal">
    <w:name w:val="Normal"/>
    <w:next w:val="Normal"/>
    <w:qFormat/>
    <w:pPr>
      <w:widowControl w:val="on"/>
      <w:shd w:val="clear" w:color="auto" w:fill="auto"/>
      <w:spacing w:before="0" w:after="160" w:line="259" w:lineRule="auto"/>
      <w:ind w:left="0" w:right="0" w:firstLine="0"/>
      <w:jc w:val="left"/>
      <w:outlineLvl w:val="9"/>
    </w:pPr>
    <w:rPr>
      <w:rFonts w:ascii="Calibri" w:hAnsi="Calibri" w:eastAsia="Calibri" w:cs="Calibri"/>
      <w:b w:val="off"/>
      <w:bCs w:val="off"/>
      <w:i w:val="off"/>
      <w:iCs w:val="off"/>
      <w:caps w:val="off"/>
      <w:smallCaps w:val="off"/>
      <w:strike w:val="off"/>
      <w:color w:val="auto"/>
      <w:spacing w:val="0"/>
      <w:w w:val="100"/>
      <w:position w:val="0"/>
      <w:sz w:val="22"/>
      <w:szCs w:val="22"/>
      <w:shd w:val="clear" w:color="auto" w:fill="auto"/>
      <w:vertAlign w:val="baseline"/>
      <w:rtl w:val="off"/>
      <w:lang w:val="en-GB" w:eastAsia="en-GB" w:bidi="en-GB"/>
    </w:rPr>
  </w:style>
  <w:style w:type="paragraph" w:styleId="Header">
    <w:name w:val="header"/>
    <w:basedOn w:val="Normal"/>
    <w:next w:val="Header"/>
    <w:qFormat/>
    <w:pPr>
      <w:tabs>
        <w:tab w:val="center" w:pos="4513"/>
        <w:tab w:val="right" w:pos="9026"/>
      </w:tabs>
      <w:spacing w:after="0" w:line="240" w:lineRule="auto"/>
    </w:pPr>
    <w:rPr>
      <w:lang w:val="en-GB" w:eastAsia="en-GB" w:bidi="en-GB"/>
    </w:rPr>
  </w:style>
  <w:style w:type="paragraph" w:styleId="Footer">
    <w:name w:val="footer"/>
    <w:basedOn w:val="Normal"/>
    <w:next w:val="Footer"/>
    <w:qFormat/>
    <w:pPr>
      <w:tabs>
        <w:tab w:val="center" w:pos="4513"/>
        <w:tab w:val="right" w:pos="9026"/>
      </w:tabs>
      <w:spacing w:after="0" w:line="240" w:lineRule="auto"/>
    </w:pPr>
    <w:rPr>
      <w:lang w:val="en-GB" w:eastAsia="en-GB" w:bidi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60" w:after="80" w:line="240" w:lineRule="auto"/>
      <w:outlineLvl w:val="0"/>
    </w:pPr>
    <w:rPr>
      <w:rFonts w:ascii="Calibri Light" w:hAnsi="Calibri Light" w:eastAsia="Calibri Light" w:cs="Calibri Light"/>
      <w:color w:val="2E75B5"/>
      <w:sz w:val="40"/>
      <w:szCs w:val="40"/>
      <w:lang w:val="en-GB" w:eastAsia="en-GB" w:bidi="en-GB"/>
    </w:rPr>
  </w:style>
  <w:style w:type="paragraph" w:styleId="ListParagraph">
    <w:name w:val="List Paragraph"/>
    <w:basedOn w:val="Normal"/>
    <w:next w:val="ListParagraph"/>
    <w:qFormat/>
    <w:pPr>
      <w:ind w:left="720"/>
    </w:pPr>
    <w:rPr>
      <w:lang w:val="en-GB" w:eastAsia="en-GB" w:bidi="en-GB"/>
    </w:rPr>
  </w:style>
  <w:style w:type="character" w:styleId="Strong">
    <w:name w:val="Strong"/>
    <w:qFormat/>
    <w:rPr>
      <w:b/>
      <w:bCs/>
      <w:rtl w:val="off"/>
    </w:rPr>
  </w:style>
  <w:style w:type="paragraph" w:styleId="NormalWeb">
    <w:name w:val="Normal (Web)"/>
    <w:basedOn w:val="Normal"/>
    <w:next w:val="NormalWeb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GB" w:eastAsia="en-GB" w:bidi="en-GB"/>
    </w:rPr>
  </w:style>
  <w:style w:type="character" w:styleId="CommentReference">
    <w:name w:val="annotation reference"/>
    <w:qFormat/>
    <w:rPr>
      <w:sz w:val="16"/>
      <w:szCs w:val="16"/>
      <w:rtl w:val="off"/>
    </w:rPr>
  </w:style>
  <w:style w:type="paragraph" w:styleId="CommentText">
    <w:name w:val="annotation text"/>
    <w:basedOn w:val="Normal"/>
    <w:next w:val="CommentText"/>
    <w:qFormat/>
    <w:pPr>
      <w:spacing w:line="240" w:lineRule="auto"/>
    </w:pPr>
    <w:rPr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qFormat/>
    <w:pPr/>
    <w:rPr>
      <w:b/>
      <w:bCs/>
      <w:lang w:val="en-GB" w:eastAsia="en-GB" w:bidi="en-GB"/>
    </w:rPr>
  </w:style>
  <w:style w:type="character" w:styleId="Comment Text Char" w:customStyle="1">
    <w:name w:val="Comment Text Char"/>
    <w:qFormat/>
    <w:rPr>
      <w:sz w:val="20"/>
      <w:szCs w:val="20"/>
      <w:rtl w:val="off"/>
    </w:rPr>
  </w:style>
  <w:style w:type="character" w:styleId="Comment Subject Char" w:customStyle="1">
    <w:name w:val="Comment Subject Char"/>
    <w:basedOn w:val="Comment Text Char"/>
    <w:qFormat/>
    <w:rPr>
      <w:b/>
      <w:bCs/>
      <w:sz w:val="20"/>
      <w:szCs w:val="20"/>
    </w:rPr>
  </w:style>
  <w:style w:type="paragraph" w:styleId="BalloonText">
    <w:name w:val="Balloon Text"/>
    <w:basedOn w:val="Normal"/>
    <w:next w:val="BalloonText"/>
    <w:qFormat/>
    <w:pPr>
      <w:spacing w:after="0" w:line="240" w:lineRule="auto"/>
    </w:pPr>
    <w:rPr>
      <w:rFonts w:ascii="Segoe UI" w:hAnsi="Segoe UI" w:eastAsia="Segoe UI" w:cs="Segoe UI"/>
      <w:sz w:val="18"/>
      <w:szCs w:val="18"/>
      <w:lang w:val="en-GB" w:eastAsia="en-GB" w:bidi="en-GB"/>
    </w:rPr>
  </w:style>
  <w:style w:type="character" w:styleId="Balloon Text Char" w:customStyle="1">
    <w:name w:val="Balloon Text Char"/>
    <w:qFormat/>
    <w:rPr>
      <w:rFonts w:ascii="Segoe UI" w:hAnsi="Segoe UI" w:eastAsia="Segoe UI" w:cs="Segoe UI"/>
      <w:sz w:val="18"/>
      <w:szCs w:val="18"/>
      <w:rtl w:val="off"/>
    </w:rPr>
  </w:style>
  <w:style w:type="character" w:styleId="Header Char" w:customStyle="1">
    <w:name w:val="Header Char"/>
    <w:qFormat/>
    <w:rPr>
      <w:rtl w:val="off"/>
    </w:rPr>
  </w:style>
  <w:style w:type="character" w:styleId="Footer Char" w:customStyle="1">
    <w:name w:val="Footer Char"/>
    <w:qFormat/>
    <w:rPr>
      <w:rtl w:val="off"/>
    </w:rPr>
  </w:style>
  <w:style w:type="paragraph" w:styleId="paragraph" w:customStyle="1">
    <w:name w:val="paragraph"/>
    <w:basedOn w:val="Normal"/>
    <w:next w:val="paragraph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GB" w:eastAsia="en-GB" w:bidi="en-GB"/>
    </w:rPr>
  </w:style>
  <w:style w:type="character" w:styleId="normaltextrun" w:customStyle="1">
    <w:name w:val="normaltextrun"/>
    <w:qFormat/>
    <w:rPr>
      <w:rtl w:val="off"/>
    </w:rPr>
  </w:style>
  <w:style w:type="character" w:styleId="eop" w:customStyle="1">
    <w:name w:val="eop"/>
    <w:qFormat/>
    <w:rPr>
      <w:rtl w:val="off"/>
    </w:rPr>
  </w:style>
  <w:style w:type="character" w:styleId="Heading 1 Char" w:customStyle="1">
    <w:name w:val="Heading 1 Char"/>
    <w:qFormat/>
    <w:rPr>
      <w:rFonts w:ascii="Calibri Light" w:hAnsi="Calibri Light" w:eastAsia="Calibri Light" w:cs="Calibri Light"/>
      <w:color w:val="2E75B5"/>
      <w:sz w:val="40"/>
      <w:szCs w:val="40"/>
      <w:rtl w:val="off"/>
    </w:rPr>
  </w:style>
  <w:style w:type="paragraph" w:styleId="Normal1" w:customStyle="1">
    <w:name w:val="Normal1"/>
    <w:basedOn w:val="[Normal]"/>
    <w:next w:val="Normal1"/>
    <w:qFormat/>
    <w:pPr>
      <w:widowControl w:val="on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color w:val="000000"/>
      <w:sz w:val="24"/>
      <w:szCs w:val="24"/>
      <w:lang w:val="en-GB" w:eastAsia="en-GB" w:bidi="en-GB"/>
    </w:rPr>
  </w:style>
</w:styles>
</file>

<file path=word/_rels/document.xml.rels><?xml version="1.0" encoding="UTF-8" standalone="yes"?><Relationships xmlns="http://schemas.openxmlformats.org/package/2006/relationships">
	<Relationship Id="rId00005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4" Type="http://schemas.openxmlformats.org/officeDocument/2006/relationships/header" Target="header0001_first.xml"/>
	<Relationship Id="rId00015" Type="http://schemas.openxmlformats.org/officeDocument/2006/relationships/footer" Target="footer0001_first.xml"/>
	<Relationship Id="rId00007" Type="http://schemas.openxmlformats.org/officeDocument/2006/relationships/image" Target="media/image0002.jpg"/>
	<Relationship Id="rId00008" Type="http://schemas.openxmlformats.org/officeDocument/2006/relationships/image" Target="media/image0003.png"/>
	<Relationship Id="rId00011" Type="http://schemas.openxmlformats.org/officeDocument/2006/relationships/image" Target="media/image0006.png"/>
	<Relationship Id="rId00010" Type="http://schemas.openxmlformats.org/officeDocument/2006/relationships/image" Target="media/image0005.png"/>
	<Relationship Id="rId00009" Type="http://schemas.openxmlformats.org/officeDocument/2006/relationships/image" Target="media/image0004.jpg"/>
	<Relationship Id="rId00016" Type="http://schemas.openxmlformats.org/officeDocument/2006/relationships/numbering" Target="numbering.xml"/>
	<Relationship Id="rId00017" Type="http://schemas.openxmlformats.org/officeDocument/2006/relationships/fontTable" Target="fontTable.xml"/>
	<Relationship Id="rId00018" Type="http://schemas.openxmlformats.org/officeDocument/2006/relationships/settings" Target="settings.xml"/>
</Relationships>
</file>

<file path=word/_rels/footer0001.xml.rels><?xml version="1.0" encoding="UTF-8" standalone="yes"?><Relationships xmlns="http://schemas.openxmlformats.org/package/2006/relationships">
	<Relationship Id="rId00006" Type="http://schemas.openxmlformats.org/officeDocument/2006/relationships/image" Target="media/image0001.png"/>
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Reed</dc:creator>
  <dcterms:created xsi:type="dcterms:W3CDTF">2025-11-06T15:30:00Z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0x0101003136D83C831C0549AF6C8ED4DD8063F0</vt:lpwstr>
  </property>
</Properties>
</file>