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c>
          <w:tcPr>
            <w:tcW w:w="8505" w:type="dxa"/>
            <w:shd w:val="clear" w:color="auto" w:fill="auto"/>
            <w:vAlign w:val="top"/>
          </w:tcPr>
          <w:p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Arial" w:hAnsi="Arial" w:eastAsia="Arial" w:cs="Arial"/>
                <w:b/>
                <w:bCs/>
                <w:color w:val="9E1773"/>
                <w:sz w:val="52"/>
                <w:szCs w:val="52"/>
                <w:lang w:val="en-GB" w:eastAsia="en-GB" w:bidi="en-GB"/>
              </w:rPr>
            </w:pPr>
          </w:p>
          <w:p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Arial" w:hAnsi="Arial" w:eastAsia="Arial" w:cs="Arial"/>
                <w:b/>
                <w:bCs/>
                <w:color w:val="9E1773"/>
                <w:sz w:val="52"/>
                <w:szCs w:val="52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color w:val="9E1773"/>
                <w:sz w:val="52"/>
                <w:szCs w:val="52"/>
                <w:lang w:val="en-GB" w:eastAsia="en-GB" w:bidi="en-GB"/>
              </w:rPr>
              <w:t xml:space="preserve">Senior Media Officer</w:t>
            </w:r>
          </w:p>
          <w:p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lang w:val="en-GB" w:eastAsia="en-GB" w:bidi="en-GB"/>
              </w:rPr>
            </w:pPr>
          </w:p>
        </w:tc>
      </w:tr>
      <w:tr>
        <w:tc>
          <w:tcPr>
            <w:tcW w:w="850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</w:tc>
      </w:tr>
      <w:tr>
        <w:tc>
          <w:tcPr>
            <w:tcW w:w="850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</w:tc>
      </w:tr>
      <w:tr>
        <w:tc>
          <w:tcPr>
            <w:tcW w:w="850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255" w:type="dxa"/>
          <w:left w:w="255" w:type="dxa"/>
          <w:bottom w:w="255" w:type="dxa"/>
          <w:right w:w="255" w:type="dxa"/>
        </w:tblCellMar>
      </w:tblPr>
      <w:tblGrid>
        <w:gridCol w:w="10456"/>
      </w:tblGrid>
      <w:tr>
        <w:tc>
          <w:tcPr>
            <w:tcW w:w="10456" w:type="dxa"/>
            <w:shd w:val="clear" w:color="auto" w:fill="F8F0E2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76" w:lineRule="auto"/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  <w:t xml:space="preserve">About the Team and the Role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14" w:hanging="357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This role, and that of the wider Communications Team, is fundamental to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Mencap’s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work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to break down barriers in society for people with a learning disability.</w:t>
            </w:r>
            <w:r>
              <w:rPr>
                <w:sz w:val="24"/>
                <w:szCs w:val="24"/>
                <w:lang w:val="en-GB" w:eastAsia="en-GB" w:bidi="en-GB"/>
              </w:rPr>
              <w:t xml:space="preserve"> 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We work hard to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educate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the public about life with a learning disability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and,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in turn,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to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influence relevant policy decisions.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The post holder will collaborate across teams (policy, parliamentary, fundraising) to understand and communicate complex issues in order to deliver communications campaigns which will support people with a learning disability.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They will develop and execute media strategies to raise Mencap’s profile, including shaping media plans, monitoring news agendas, and proactively pitching stories to national media outlets.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They will translate complex topics into accessible, media-friendly content and consistently deliver high-quality press office support.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Advise on media tactics, prepare media materials and prepare and brief spokespeople ahead of media appearances.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Contribute to team efficiency, including deputising for colleagues when needed, and help drive optimal ways of working.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Develop a strong understanding of learning disability and contribute to Mencap’s vision of a world where people with a learning disability are valued equally, listened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to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and included.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450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uto"/>
        <w:rPr>
          <w:rFonts w:ascii="Arial" w:hAnsi="Arial" w:eastAsia="Arial" w:cs="Arial"/>
          <w:b/>
          <w:bCs/>
          <w:color w:val="970361"/>
          <w:sz w:val="28"/>
          <w:szCs w:val="28"/>
          <w:lang w:val="en-US" w:eastAsia="en-US" w:bidi="en-US"/>
        </w:rPr>
      </w:pPr>
      <w:r>
        <w:drawing>
          <wp:anchor distT="0" distB="0" distL="114300" distR="114300" simplePos="0" relativeHeight="251660287" behindDoc="1" locked="0" layoutInCell="1" hidden="0" allowOverlap="1">
            <wp:simplePos x="0" y="0"/>
            <wp:positionH relativeFrom="page">
              <wp:posOffset>457200</wp:posOffset>
            </wp:positionH>
            <wp:positionV relativeFrom="page">
              <wp:posOffset>10336530</wp:posOffset>
            </wp:positionV>
            <wp:extent cx="3411855" cy="5059045"/>
            <wp:wrapNone/>
            <wp:docPr id="3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505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255" w:type="dxa"/>
          <w:left w:w="255" w:type="dxa"/>
          <w:bottom w:w="227" w:type="dxa"/>
          <w:right w:w="255" w:type="dxa"/>
        </w:tblCellMar>
      </w:tblPr>
      <w:tblGrid>
        <w:gridCol w:w="10456"/>
      </w:tblGrid>
      <w:tr>
        <w:tc>
          <w:tcPr>
            <w:tcW w:w="10456" w:type="dxa"/>
            <w:shd w:val="clear" w:color="auto" w:fill="F8F0E2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  <w:t xml:space="preserve">What you will bring to the role (Essentials)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Demonstrable experience of working in a busy press office,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producing media materials and liaising with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national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media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on campaigning issues to achieve media coverage which supports strategic objectives.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Outstanding communication skills – written, verbal,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negotiation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and presentation.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Ability to develop and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maintain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constructive relationships with stakeholders and balance different demands.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Excellent IT skills including Word,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Outlook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and Excel.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Translating complex information and evidence into compelling outputs.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Experience of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advising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others on media communication opportunities and sensitivities.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Sound knowledge of current affairs and the news media landscape.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 w:bidi="en-GB"/>
              </w:rPr>
              <w:t xml:space="preserve">Please note: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 This job description is not intended to be exhaustive. Duties and responsibilities may evolve over time to reflect the needs of the organisation and the role.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  <w:r>
              <w:drawing>
                <wp:anchor distT="0" distB="0" distL="114300" distR="114300" simplePos="0" relativeHeight="251659263" behindDoc="1" locked="0" layoutInCell="1" hidden="0" allowOverlap="1">
                  <wp:simplePos x="0" y="0"/>
                  <wp:positionH relativeFrom="page">
                    <wp:posOffset>457200</wp:posOffset>
                  </wp:positionH>
                  <wp:positionV relativeFrom="page">
                    <wp:posOffset>9245600</wp:posOffset>
                  </wp:positionV>
                  <wp:extent cx="3486150" cy="5168900"/>
                  <wp:wrapNone/>
                  <wp:docPr id="4" name="_tx_id_1_Picture 1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516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rial" w:hAnsi="Arial" w:eastAsia="Arial" w:cs="Arial"/>
          <w:b/>
          <w:bCs/>
          <w:color w:val="970361"/>
          <w:sz w:val="28"/>
          <w:szCs w:val="28"/>
          <w:lang w:val="en-US" w:eastAsia="en-US" w:bidi="en-US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>
        <w:tc>
          <w:tcPr>
            <w:tcW w:w="10460" w:type="dxa"/>
            <w:shd w:val="clear" w:color="auto" w:fill="521574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76" w:lineRule="auto"/>
              <w:rPr>
                <w:rFonts w:ascii="Arial" w:hAnsi="Arial" w:eastAsia="Arial" w:cs="Arial"/>
                <w:b/>
                <w:bCs/>
                <w:color w:val="FFFFFF"/>
                <w:sz w:val="28"/>
                <w:szCs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8"/>
                <w:szCs w:val="28"/>
                <w:lang w:val="en-US" w:eastAsia="en-US" w:bidi="en-US"/>
              </w:rPr>
              <w:drawing>
                <wp:inline distT="0" distB="0" distL="0" distR="0">
                  <wp:extent cx="6642100" cy="2692400"/>
                  <wp:docPr id="2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Footer"/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76" w:lineRule="auto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  <w:lang w:val="en-GB" w:eastAsia="en-GB" w:bidi="en-GB"/>
              </w:rPr>
            </w:pPr>
          </w:p>
          <w:p>
            <w:pPr>
              <w:pStyle w:val="Footer"/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76" w:lineRule="auto"/>
              <w:jc w:val="center"/>
              <w:rPr>
                <w:rStyle w:val="Strong"/>
                <w:rFonts w:ascii="Arial" w:hAnsi="Arial" w:eastAsia="Arial" w:cs="Arial"/>
                <w:color w:val="FFFFFF"/>
                <w:sz w:val="28"/>
                <w:szCs w:val="28"/>
                <w:lang w:val="en-GB" w:eastAsia="en-GB" w:bidi="en-GB"/>
              </w:rPr>
            </w:pPr>
            <w:r>
              <w:rPr>
                <w:rStyle w:val="Strong"/>
                <w:rFonts w:ascii="Arial" w:hAnsi="Arial" w:eastAsia="Arial" w:cs="Arial"/>
                <w:color w:val="FFFFFF"/>
                <w:sz w:val="28"/>
                <w:szCs w:val="28"/>
                <w:lang w:val="en-GB" w:eastAsia="en-GB" w:bidi="en-GB"/>
              </w:rPr>
              <w:t xml:space="preserve">“This isn’t just a job - it’s a chance to help change the lives of people </w:t>
            </w:r>
          </w:p>
          <w:p>
            <w:pPr>
              <w:pStyle w:val="Footer"/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76" w:lineRule="auto"/>
              <w:jc w:val="center"/>
              <w:rPr>
                <w:rFonts w:ascii="Arial" w:hAnsi="Arial" w:eastAsia="Arial" w:cs="Arial"/>
                <w:b/>
                <w:bCs/>
                <w:color w:val="FFFFFF"/>
                <w:sz w:val="28"/>
                <w:szCs w:val="28"/>
                <w:lang w:val="en-GB" w:eastAsia="en-GB" w:bidi="en-GB"/>
              </w:rPr>
            </w:pPr>
            <w:r>
              <w:rPr>
                <w:rStyle w:val="Strong"/>
                <w:rFonts w:ascii="Arial" w:hAnsi="Arial" w:eastAsia="Arial" w:cs="Arial"/>
                <w:color w:val="FFFFFF"/>
                <w:sz w:val="28"/>
                <w:szCs w:val="28"/>
                <w:lang w:val="en-GB" w:eastAsia="en-GB" w:bidi="en-GB"/>
              </w:rPr>
              <w:t xml:space="preserve">with a learning disability and their families. If you’re passionate about </w:t>
              <w:br w:type="textWrapping"/>
            </w:r>
            <w:r>
              <w:rPr>
                <w:rStyle w:val="Strong"/>
                <w:rFonts w:ascii="Arial" w:hAnsi="Arial" w:eastAsia="Arial" w:cs="Arial"/>
                <w:color w:val="FFFFFF"/>
                <w:sz w:val="28"/>
                <w:szCs w:val="28"/>
                <w:lang w:val="en-GB" w:eastAsia="en-GB" w:bidi="en-GB"/>
              </w:rPr>
              <w:t xml:space="preserve">making a difference, join Mencap in building a more inclusive future.”</w:t>
            </w:r>
          </w:p>
          <w:p>
            <w:pPr>
              <w:pStyle w:val="Footer"/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76" w:lineRule="auto"/>
              <w:rPr>
                <w:rFonts w:ascii="Arial" w:hAnsi="Arial" w:eastAsia="Arial" w:cs="Arial"/>
                <w:color w:val="FFFFFF"/>
                <w:sz w:val="24"/>
                <w:szCs w:val="24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rial" w:hAnsi="Arial" w:eastAsia="Arial" w:cs="Arial"/>
          <w:b/>
          <w:bCs/>
          <w:color w:val="970361"/>
          <w:sz w:val="28"/>
          <w:szCs w:val="28"/>
          <w:lang w:val="en-US" w:eastAsia="en-US" w:bidi="en-US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255" w:type="dxa"/>
          <w:left w:w="255" w:type="dxa"/>
          <w:bottom w:w="255" w:type="dxa"/>
          <w:right w:w="255" w:type="dxa"/>
        </w:tblCellMar>
      </w:tblPr>
      <w:tblGrid>
        <w:gridCol w:w="10456"/>
      </w:tblGrid>
      <w:tr>
        <w:tc>
          <w:tcPr>
            <w:tcW w:w="10456" w:type="dxa"/>
            <w:shd w:val="clear" w:color="auto" w:fill="F8F0E2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  <w:t xml:space="preserve">Mencap and our Commitment to Safeguarding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  <w:lang w:val="en-GB" w:eastAsia="en-GB" w:bidi="en-GB"/>
              </w:rPr>
              <w:t xml:space="preserve">Mencap is committed to safeguarding and promoting the welfare of children, young people and vulnerable adults, and expects all staff and volunteers to share this commitment.</w:t>
            </w:r>
            <w:r>
              <w:rPr>
                <w:color w:val="000000"/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  <w:lang w:val="en-GB" w:eastAsia="en-GB" w:bidi="en-GB"/>
              </w:rPr>
              <w:t xml:space="preserve">Successful applicants will be subject to appropriate pre-employment checks, including references and, where applicable, an enhanced Disclosure and Barring Service (DBS) check.</w:t>
            </w:r>
            <w:r>
              <w:rPr>
                <w:color w:val="000000"/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sectPr>
      <w:headerReference w:type="default" r:id="rId00010"/>
      <w:footerReference w:type="default" r:id="rId00011"/>
      <w:headerReference w:type="first" r:id="rId00012"/>
      <w:footerReference w:type="first" r:id="rId00013"/>
      <w:pgSz w:w="11906" w:h="16838"/>
      <w:pgMar w:top="720" w:right="720" w:bottom="720" w:left="720" w:header="454" w:footer="709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2000019F" w:csb1="0000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rFonts w:ascii="Arial" w:hAnsi="Arial" w:eastAsia="Arial" w:cs="Arial"/>
              <w:b/>
              <w:bCs/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465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-1007110</wp:posOffset>
          </wp:positionH>
          <wp:positionV relativeFrom="paragraph">
            <wp:posOffset>0</wp:posOffset>
          </wp:positionV>
          <wp:extent cx="8818880" cy="533400"/>
          <wp:wrapNone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881888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465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1042"/>
              <w:tab w:val="left" w:pos="1440"/>
              <w:tab w:val="left" w:pos="2160"/>
              <w:tab w:val="left" w:pos="2880"/>
              <w:tab w:val="left" w:pos="3600"/>
              <w:tab w:val="left" w:pos="4320"/>
              <w:tab w:val="clear" w:pos="4513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clear" w:pos="9026"/>
              <w:tab w:val="left" w:pos="9360"/>
              <w:tab w:val="left" w:pos="10080"/>
            </w:tabs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465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465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465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14" w:hanging="357"/>
        <w:tabs>
          <w:tab w:val="num" w:pos="714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160" w:line="259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 w:after="80" w:line="240" w:lineRule="auto"/>
      <w:outlineLvl w:val="0"/>
    </w:pPr>
    <w:rPr>
      <w:rFonts w:ascii="Calibri Light" w:hAnsi="Calibri Light" w:eastAsia="Calibri Light" w:cs="Calibri Light"/>
      <w:color w:val="2E75B5"/>
      <w:sz w:val="40"/>
      <w:szCs w:val="40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paragraph" w:styleId="NormalWeb">
    <w:name w:val="Normal (Web)"/>
    <w:basedOn w:val="Normal"/>
    <w:next w:val="NormalWeb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paragraph" w:styleId="CommentText">
    <w:name w:val="annotation text"/>
    <w:basedOn w:val="Normal"/>
    <w:next w:val="CommentText"/>
    <w:qFormat/>
    <w:pPr>
      <w:spacing w:line="240" w:lineRule="auto"/>
    </w:pPr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paragraph" w:styleId="BalloonText">
    <w:name w:val="Balloon Text"/>
    <w:basedOn w:val="Normal"/>
    <w:next w:val="BalloonText"/>
    <w:qFormat/>
    <w:pPr>
      <w:spacing w:after="0" w:line="240" w:lineRule="auto"/>
    </w:pPr>
    <w:rPr>
      <w:rFonts w:ascii="Segoe UI" w:hAnsi="Segoe UI" w:eastAsia="Segoe UI" w:cs="Segoe UI"/>
      <w:sz w:val="18"/>
      <w:szCs w:val="18"/>
      <w:lang w:val="en-GB" w:eastAsia="en-GB" w:bidi="en-GB"/>
    </w:rPr>
  </w:style>
  <w:style w:type="paragraph" w:styleId="paragraph" w:customStyle="1">
    <w:name w:val="paragraph"/>
    <w:basedOn w:val="Normal"/>
    <w:next w:val="paragraph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character" w:styleId="Strong">
    <w:name w:val="Strong"/>
    <w:qFormat/>
    <w:rPr>
      <w:b/>
      <w:bCs/>
      <w:rtl w:val="off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character" w:styleId="Comment Text Char" w:customStyle="1">
    <w:name w:val="Comment Text Char"/>
    <w:qFormat/>
    <w:rPr>
      <w:sz w:val="20"/>
      <w:szCs w:val="20"/>
      <w:rtl w:val="off"/>
    </w:rPr>
  </w:style>
  <w:style w:type="character" w:styleId="Comment Subject Char" w:customStyle="1">
    <w:name w:val="Comment Subject Char"/>
    <w:basedOn w:val="Comment Text Char"/>
    <w:qFormat/>
    <w:rPr>
      <w:b/>
      <w:bCs/>
      <w:sz w:val="20"/>
      <w:szCs w:val="20"/>
    </w:rPr>
  </w:style>
  <w:style w:type="character" w:styleId="Balloon Text Char" w:customStyle="1">
    <w:name w:val="Balloon Text Char"/>
    <w:qFormat/>
    <w:rPr>
      <w:rFonts w:ascii="Segoe UI" w:hAnsi="Segoe UI" w:eastAsia="Segoe UI" w:cs="Segoe UI"/>
      <w:sz w:val="18"/>
      <w:szCs w:val="18"/>
      <w:rtl w:val="off"/>
    </w:rPr>
  </w:style>
  <w:style w:type="character" w:styleId="Header Char" w:customStyle="1">
    <w:name w:val="Header Char"/>
    <w:qFormat/>
    <w:rPr>
      <w:rtl w:val="off"/>
    </w:rPr>
  </w:style>
  <w:style w:type="character" w:styleId="Footer Char" w:customStyle="1">
    <w:name w:val="Footer Char"/>
    <w:qFormat/>
    <w:rPr>
      <w:rtl w:val="off"/>
    </w:rPr>
  </w:style>
  <w:style w:type="character" w:styleId="normaltextrun" w:customStyle="1">
    <w:name w:val="normaltextrun"/>
    <w:qFormat/>
    <w:rPr>
      <w:rtl w:val="off"/>
    </w:rPr>
  </w:style>
  <w:style w:type="character" w:styleId="eop" w:customStyle="1">
    <w:name w:val="eop"/>
    <w:qFormat/>
    <w:rPr>
      <w:rtl w:val="off"/>
    </w:rPr>
  </w:style>
  <w:style w:type="character" w:styleId="Heading 1 Char" w:customStyle="1">
    <w:name w:val="Heading 1 Char"/>
    <w:qFormat/>
    <w:rPr>
      <w:rFonts w:ascii="Calibri Light" w:hAnsi="Calibri Light" w:eastAsia="Calibri Light" w:cs="Calibri Light"/>
      <w:color w:val="2E75B5"/>
      <w:sz w:val="40"/>
      <w:szCs w:val="40"/>
      <w:rtl w:val="off"/>
    </w:rPr>
  </w:style>
  <w:style w:type="paragraph" w:styleId="Normal1" w:customStyle="1">
    <w:name w:val="Normal1"/>
    <w:basedOn w:val="[Normal]"/>
    <w:next w:val="Normal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color w:val="000000"/>
      <w:sz w:val="24"/>
      <w:szCs w:val="24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10" Type="http://schemas.openxmlformats.org/officeDocument/2006/relationships/header" Target="header0001.xml"/>
	<Relationship Id="rId00011" Type="http://schemas.openxmlformats.org/officeDocument/2006/relationships/footer" Target="footer0001.xml"/>
	<Relationship Id="rId00012" Type="http://schemas.openxmlformats.org/officeDocument/2006/relationships/header" Target="header0001_first.xml"/>
	<Relationship Id="rId00013" Type="http://schemas.openxmlformats.org/officeDocument/2006/relationships/footer" Target="footer0001_first.xml"/>
	<Relationship Id="rId00008" Type="http://schemas.openxmlformats.org/officeDocument/2006/relationships/image" Target="media/image0003.png"/>
	<Relationship Id="rId00009" Type="http://schemas.openxmlformats.org/officeDocument/2006/relationships/image" Target="media/image0004.png"/>
	<Relationship Id="rId00007" Type="http://schemas.openxmlformats.org/officeDocument/2006/relationships/image" Target="media/image0002.jpg"/>
	<Relationship Id="rId00014" Type="http://schemas.openxmlformats.org/officeDocument/2006/relationships/numbering" Target="numbering.xml"/>
	<Relationship Id="rId00015" Type="http://schemas.openxmlformats.org/officeDocument/2006/relationships/fontTable" Target="fontTable.xml"/>
	<Relationship Id="rId00016" Type="http://schemas.openxmlformats.org/officeDocument/2006/relationships/settings" Target="settings.xml"/>
</Relationships>
</file>

<file path=word/_rels/footer0001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 for the web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Reed</dc:creator>
  <dcterms:created xsi:type="dcterms:W3CDTF">2025-11-06T12:51:00Z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0x0101003136D83C831C0549AF6C8ED4DD8063F0</vt:lpwstr>
  </property>
</Properties>
</file>